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654" w:rsidRPr="007A395D" w:rsidRDefault="00B72654" w:rsidP="00B72654">
      <w:pPr>
        <w:pStyle w:val="BodyText"/>
      </w:pPr>
      <w:r w:rsidRPr="007A395D">
        <w:t>Agenda item</w:t>
      </w:r>
      <w:r w:rsidRPr="007A395D">
        <w:tab/>
      </w:r>
      <w:r w:rsidRPr="007A395D">
        <w:tab/>
      </w:r>
      <w:r w:rsidRPr="007A395D">
        <w:tab/>
      </w:r>
      <w:r>
        <w:tab/>
        <w:t>10.2</w:t>
      </w:r>
      <w:bookmarkStart w:id="0" w:name="_GoBack"/>
      <w:bookmarkEnd w:id="0"/>
    </w:p>
    <w:p w:rsidR="00B72654" w:rsidRPr="003F1D20" w:rsidRDefault="00B72654" w:rsidP="00B72654">
      <w:pPr>
        <w:pStyle w:val="BodyText"/>
      </w:pPr>
      <w:r w:rsidRPr="007A395D">
        <w:t>Author(s) / Submitter(s)</w:t>
      </w:r>
      <w:r w:rsidRPr="007A395D">
        <w:tab/>
      </w:r>
      <w:r w:rsidRPr="007A395D">
        <w:tab/>
      </w:r>
      <w:r w:rsidR="00A535E3">
        <w:t xml:space="preserve">Secretariat </w:t>
      </w:r>
    </w:p>
    <w:p w:rsidR="00B72654" w:rsidRPr="007A395D" w:rsidRDefault="00B72654" w:rsidP="00B72654">
      <w:pPr>
        <w:pStyle w:val="BodyText"/>
      </w:pPr>
    </w:p>
    <w:p w:rsidR="00B72654" w:rsidRPr="002E2335" w:rsidRDefault="00B72654" w:rsidP="00B72654">
      <w:pPr>
        <w:pStyle w:val="Title"/>
        <w:spacing w:before="144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New </w:t>
      </w:r>
      <w:r w:rsidRPr="002E2335">
        <w:rPr>
          <w:rFonts w:ascii="Calibri" w:hAnsi="Calibri"/>
          <w:color w:val="00558C"/>
        </w:rPr>
        <w:t xml:space="preserve">Draft Recommendations </w:t>
      </w:r>
      <w:r>
        <w:rPr>
          <w:rFonts w:ascii="Calibri" w:hAnsi="Calibri"/>
          <w:color w:val="00558C"/>
        </w:rPr>
        <w:t>for early completion</w:t>
      </w:r>
    </w:p>
    <w:p w:rsidR="00B72654" w:rsidRPr="002E2335" w:rsidRDefault="00B72654" w:rsidP="00B72654">
      <w:pPr>
        <w:pStyle w:val="Heading1"/>
        <w:keepLines w:val="0"/>
        <w:numPr>
          <w:ilvl w:val="0"/>
          <w:numId w:val="1"/>
        </w:numPr>
        <w:spacing w:before="240" w:after="240" w:line="240" w:lineRule="auto"/>
        <w:rPr>
          <w:rFonts w:ascii="Calibri" w:eastAsia="Calibri" w:hAnsi="Calibri" w:cs="Calibri"/>
          <w:bCs w:val="0"/>
          <w:caps/>
          <w:color w:val="00558C"/>
          <w:kern w:val="28"/>
          <w:sz w:val="24"/>
          <w:szCs w:val="22"/>
          <w:lang w:eastAsia="de-DE"/>
        </w:rPr>
      </w:pPr>
      <w:r w:rsidRPr="002E2335">
        <w:rPr>
          <w:rFonts w:ascii="Calibri" w:eastAsia="Calibri" w:hAnsi="Calibri" w:cs="Calibri"/>
          <w:bCs w:val="0"/>
          <w:caps/>
          <w:color w:val="00558C"/>
          <w:kern w:val="28"/>
          <w:sz w:val="24"/>
          <w:szCs w:val="22"/>
          <w:lang w:eastAsia="de-DE"/>
        </w:rPr>
        <w:t>Summary</w:t>
      </w:r>
    </w:p>
    <w:p w:rsidR="00B72654" w:rsidRDefault="00B72654" w:rsidP="00B72654">
      <w:pPr>
        <w:pStyle w:val="BodyText"/>
        <w:rPr>
          <w:sz w:val="22"/>
          <w:szCs w:val="22"/>
        </w:rPr>
      </w:pPr>
      <w:r w:rsidRPr="00237062">
        <w:rPr>
          <w:sz w:val="22"/>
          <w:szCs w:val="22"/>
        </w:rPr>
        <w:t xml:space="preserve">This paper </w:t>
      </w:r>
    </w:p>
    <w:p w:rsidR="00B72654" w:rsidRDefault="00B72654" w:rsidP="00B72654">
      <w:pPr>
        <w:pStyle w:val="BodyTex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Draws on the content of input paper PAP33-10.2 </w:t>
      </w:r>
    </w:p>
    <w:p w:rsidR="00B72654" w:rsidRDefault="00B72654" w:rsidP="00B72654">
      <w:pPr>
        <w:pStyle w:val="BodyTex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Proposes four important new draft Recommendations which the Secretariat would like to see approved at </w:t>
      </w:r>
      <w:r w:rsidR="0053478F">
        <w:rPr>
          <w:sz w:val="22"/>
          <w:szCs w:val="22"/>
        </w:rPr>
        <w:t xml:space="preserve">Council 64 in June, or failing that at </w:t>
      </w:r>
      <w:r>
        <w:rPr>
          <w:sz w:val="22"/>
          <w:szCs w:val="22"/>
        </w:rPr>
        <w:t>Council 65 in December 2017</w:t>
      </w:r>
    </w:p>
    <w:p w:rsidR="00B72654" w:rsidRDefault="00B72654" w:rsidP="00B72654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The four new draft Recommendations would fill four voids:</w:t>
      </w:r>
    </w:p>
    <w:p w:rsidR="008B6CCE" w:rsidRPr="008B6CCE" w:rsidRDefault="00B72654" w:rsidP="008B6CCE">
      <w:pPr>
        <w:pStyle w:val="BodyText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Lack of a Recommendation or Guideline on the Maritime Buoyage System</w:t>
      </w:r>
    </w:p>
    <w:p w:rsidR="009570E7" w:rsidRDefault="009570E7" w:rsidP="009570E7">
      <w:pPr>
        <w:pStyle w:val="BodyText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Lack of a Recommendation on the VHF Data Exchange System (VDES)</w:t>
      </w:r>
    </w:p>
    <w:p w:rsidR="009570E7" w:rsidRDefault="009570E7" w:rsidP="009570E7">
      <w:pPr>
        <w:pStyle w:val="BodyText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>Lack of a Recommendation on preservation of the lighthouse heritage</w:t>
      </w:r>
    </w:p>
    <w:p w:rsidR="00B72654" w:rsidRDefault="00B72654" w:rsidP="007419BD">
      <w:pPr>
        <w:pStyle w:val="BodyText"/>
        <w:numPr>
          <w:ilvl w:val="0"/>
          <w:numId w:val="4"/>
        </w:numPr>
        <w:rPr>
          <w:sz w:val="22"/>
          <w:szCs w:val="22"/>
        </w:rPr>
      </w:pPr>
      <w:r>
        <w:rPr>
          <w:sz w:val="22"/>
          <w:szCs w:val="22"/>
        </w:rPr>
        <w:t xml:space="preserve">Lack of an overall Recommendation </w:t>
      </w:r>
      <w:r w:rsidR="007419BD" w:rsidRPr="007419BD">
        <w:rPr>
          <w:sz w:val="22"/>
          <w:szCs w:val="22"/>
        </w:rPr>
        <w:t>Risk management for aids to navigation and related services</w:t>
      </w:r>
    </w:p>
    <w:p w:rsidR="00A114F6" w:rsidRDefault="00A114F6" w:rsidP="00B72654">
      <w:pPr>
        <w:pStyle w:val="Heading1"/>
        <w:keepLines w:val="0"/>
        <w:numPr>
          <w:ilvl w:val="0"/>
          <w:numId w:val="1"/>
        </w:numPr>
        <w:spacing w:before="240" w:after="240" w:line="240" w:lineRule="auto"/>
        <w:rPr>
          <w:rFonts w:ascii="Calibri" w:eastAsia="Calibri" w:hAnsi="Calibri" w:cs="Calibri"/>
          <w:bCs w:val="0"/>
          <w:caps/>
          <w:color w:val="00558C"/>
          <w:kern w:val="28"/>
          <w:sz w:val="24"/>
          <w:szCs w:val="22"/>
          <w:lang w:eastAsia="de-DE"/>
        </w:rPr>
      </w:pPr>
      <w:r>
        <w:rPr>
          <w:rFonts w:ascii="Calibri" w:eastAsia="Calibri" w:hAnsi="Calibri" w:cs="Calibri"/>
          <w:bCs w:val="0"/>
          <w:caps/>
          <w:color w:val="00558C"/>
          <w:kern w:val="28"/>
          <w:sz w:val="24"/>
          <w:szCs w:val="22"/>
          <w:lang w:eastAsia="de-DE"/>
        </w:rPr>
        <w:t>Purpose</w:t>
      </w:r>
    </w:p>
    <w:p w:rsidR="00A114F6" w:rsidRDefault="00A114F6" w:rsidP="00A114F6">
      <w:r>
        <w:t>Maritime Buoyage System</w:t>
      </w:r>
    </w:p>
    <w:p w:rsidR="001B3838" w:rsidRDefault="00A114F6" w:rsidP="00A114F6">
      <w:pPr>
        <w:ind w:left="360"/>
      </w:pPr>
      <w:r>
        <w:t xml:space="preserve">The original international agreement contains an MBS which is now superseded, and </w:t>
      </w:r>
      <w:proofErr w:type="gramStart"/>
      <w:r>
        <w:t>it</w:t>
      </w:r>
      <w:r w:rsidR="001B3838">
        <w:t>’s</w:t>
      </w:r>
      <w:proofErr w:type="gramEnd"/>
      <w:r w:rsidR="001B3838">
        <w:t xml:space="preserve"> limited list of signatories supplemented by later accessions</w:t>
      </w:r>
      <w:r>
        <w:t xml:space="preserve"> does not reflect the universal (or near universal) acceptanc</w:t>
      </w:r>
      <w:r w:rsidR="00422D53">
        <w:t xml:space="preserve">e and implementation of the MBS. </w:t>
      </w:r>
    </w:p>
    <w:p w:rsidR="00A114F6" w:rsidRDefault="00422D53" w:rsidP="00A114F6">
      <w:pPr>
        <w:ind w:left="360"/>
      </w:pPr>
      <w:r>
        <w:t xml:space="preserve">IALA </w:t>
      </w:r>
      <w:r w:rsidR="001B3838">
        <w:t xml:space="preserve">does not have a Recommendation </w:t>
      </w:r>
      <w:r>
        <w:t xml:space="preserve">or a Guideline on the MBS, so the most important achievement of IALA is not recognised in </w:t>
      </w:r>
      <w:r w:rsidR="001B3838">
        <w:t xml:space="preserve">the present </w:t>
      </w:r>
      <w:r>
        <w:t>IALA document</w:t>
      </w:r>
      <w:r w:rsidR="001B3838">
        <w:t xml:space="preserve"> scheme</w:t>
      </w:r>
      <w:r>
        <w:t>.</w:t>
      </w:r>
    </w:p>
    <w:p w:rsidR="00422D53" w:rsidRDefault="00422D53" w:rsidP="00A114F6">
      <w:pPr>
        <w:ind w:left="360"/>
      </w:pPr>
      <w:r>
        <w:t xml:space="preserve">A simple management level Recommendation </w:t>
      </w:r>
      <w:r w:rsidR="001B3838">
        <w:t>would overcome this lack</w:t>
      </w:r>
      <w:r>
        <w:t xml:space="preserve">. The present </w:t>
      </w:r>
      <w:r w:rsidR="001B3838">
        <w:t xml:space="preserve">MBS </w:t>
      </w:r>
      <w:r>
        <w:t>booklet can be rebadged as the related Guideline as an interim measure, until a PDF document is available.</w:t>
      </w:r>
    </w:p>
    <w:p w:rsidR="00422D53" w:rsidRDefault="00422D53" w:rsidP="00422D53">
      <w:r>
        <w:t>VDES</w:t>
      </w:r>
    </w:p>
    <w:p w:rsidR="00422D53" w:rsidRDefault="00422D53" w:rsidP="00422D53">
      <w:pPr>
        <w:ind w:left="360"/>
      </w:pPr>
      <w:r>
        <w:t>The concept for VDES (originally VDE) is an IALA creation and is now recognised in IMO</w:t>
      </w:r>
      <w:r w:rsidR="001B3838">
        <w:t xml:space="preserve"> documents </w:t>
      </w:r>
      <w:r>
        <w:t xml:space="preserve">and among IALA members as a key part of the future communications infrastructure for maritime digital connectivity. IALA has been the major player in work to create the [draft] ITU technical document. Some aspects of VDES are still under consideration and VDES will not be completely specified until 2019, however trials are already underway, and some manufacturers are already </w:t>
      </w:r>
      <w:r w:rsidR="001B3838">
        <w:t xml:space="preserve">developing or </w:t>
      </w:r>
      <w:r>
        <w:t>planning products.</w:t>
      </w:r>
    </w:p>
    <w:p w:rsidR="003D4779" w:rsidRDefault="00422D53" w:rsidP="00BF7D82">
      <w:pPr>
        <w:ind w:left="360"/>
      </w:pPr>
      <w:r>
        <w:lastRenderedPageBreak/>
        <w:t xml:space="preserve">IALA Guideline </w:t>
      </w:r>
      <w:r w:rsidR="00BF7D82">
        <w:t xml:space="preserve">1117 “VHF DATA EXCHANGE SYSTEM (VDES) OVERVIEW” </w:t>
      </w:r>
      <w:r w:rsidR="001B3838">
        <w:t xml:space="preserve">was approved at the Council 63 in December 2016. </w:t>
      </w:r>
      <w:r w:rsidR="003D4779">
        <w:t>It provides a comprehensive description of VDES and an explanation with examples of its future role in digital marine connectivity.</w:t>
      </w:r>
    </w:p>
    <w:p w:rsidR="00422D53" w:rsidRDefault="003D4779" w:rsidP="00BF7D82">
      <w:pPr>
        <w:ind w:left="360"/>
      </w:pPr>
      <w:r>
        <w:t>O</w:t>
      </w:r>
      <w:r w:rsidR="00BF7D82">
        <w:t xml:space="preserve">ther documents are under consideration in the ENAV Committee, while the Efficiensea2 project is allowing IALA contractors to </w:t>
      </w:r>
      <w:r>
        <w:t>develop</w:t>
      </w:r>
      <w:r w:rsidR="00BF7D82">
        <w:t xml:space="preserve"> VDES documents </w:t>
      </w:r>
      <w:r>
        <w:t>which will be output documents from</w:t>
      </w:r>
      <w:r w:rsidR="00BF7D82">
        <w:t xml:space="preserve"> that project, </w:t>
      </w:r>
      <w:r>
        <w:t>but which will</w:t>
      </w:r>
      <w:r w:rsidR="00BF7D82">
        <w:t xml:space="preserve"> then to go to the ENAV Committee for </w:t>
      </w:r>
      <w:r>
        <w:t>conversion to</w:t>
      </w:r>
      <w:r w:rsidR="00BF7D82">
        <w:t xml:space="preserve"> draft</w:t>
      </w:r>
      <w:r>
        <w:t xml:space="preserve"> IALA Guidelines</w:t>
      </w:r>
      <w:r w:rsidR="00BF7D82">
        <w:t xml:space="preserve"> for </w:t>
      </w:r>
      <w:r>
        <w:t>approval</w:t>
      </w:r>
      <w:r w:rsidR="00BF7D82">
        <w:t xml:space="preserve"> by IALA Council.</w:t>
      </w:r>
    </w:p>
    <w:p w:rsidR="00AC21DD" w:rsidRDefault="00AC21DD" w:rsidP="00BF7D82">
      <w:pPr>
        <w:ind w:left="360"/>
      </w:pPr>
      <w:r>
        <w:t>Despite all this excellent and detailed work IALA has no Recommendation to its members to start preparatory planning for the introduction of VDES to shore infrastructure.</w:t>
      </w:r>
    </w:p>
    <w:p w:rsidR="00BF7D82" w:rsidRDefault="00BF7D82" w:rsidP="008E1E2C">
      <w:pPr>
        <w:ind w:left="360"/>
      </w:pPr>
      <w:r>
        <w:t xml:space="preserve">A simple management-level </w:t>
      </w:r>
      <w:r w:rsidR="00AC21DD">
        <w:t xml:space="preserve">(non-technical) </w:t>
      </w:r>
      <w:r>
        <w:t>Recommendation on VDES would recommend that aids to navigation authorities and other authorities operating AIS base station</w:t>
      </w:r>
      <w:r w:rsidR="008E1E2C">
        <w:t xml:space="preserve"> networks should start initial</w:t>
      </w:r>
      <w:r>
        <w:t xml:space="preserve"> planning to update these networks to VDES. The existing Guideline 1117 is sufficient to be </w:t>
      </w:r>
      <w:r w:rsidR="008E1E2C">
        <w:t xml:space="preserve">the supporting Guideline. It could be </w:t>
      </w:r>
      <w:r>
        <w:t>re</w:t>
      </w:r>
      <w:r w:rsidR="008E1E2C">
        <w:t>ferenced in the Recommendation.</w:t>
      </w:r>
    </w:p>
    <w:p w:rsidR="00A95653" w:rsidRDefault="00A95653" w:rsidP="00A95653">
      <w:r>
        <w:t>Preservation of the lighthouse heritage</w:t>
      </w:r>
    </w:p>
    <w:p w:rsidR="00A95653" w:rsidRDefault="00A95653" w:rsidP="00A95653">
      <w:pPr>
        <w:ind w:left="360"/>
        <w:rPr>
          <w:lang w:eastAsia="de-DE"/>
        </w:rPr>
      </w:pPr>
      <w:r>
        <w:rPr>
          <w:lang w:eastAsia="de-DE"/>
        </w:rPr>
        <w:t>The IALA Conference in Korea in May 2018 will have a heavy emphasis on heritage including an exhibition of artefacts.</w:t>
      </w:r>
    </w:p>
    <w:p w:rsidR="00A95653" w:rsidRDefault="00A95653" w:rsidP="00A95653">
      <w:pPr>
        <w:ind w:left="360"/>
        <w:rPr>
          <w:lang w:eastAsia="de-DE"/>
        </w:rPr>
      </w:pPr>
      <w:r>
        <w:rPr>
          <w:lang w:eastAsia="de-DE"/>
        </w:rPr>
        <w:t xml:space="preserve">IALA has an excellent Heritage Manual but </w:t>
      </w:r>
      <w:r w:rsidR="003C06D0">
        <w:rPr>
          <w:lang w:eastAsia="de-DE"/>
        </w:rPr>
        <w:t xml:space="preserve">no Recommendation on preservation of the lighthouse heritage. </w:t>
      </w:r>
      <w:r w:rsidR="002C2803">
        <w:rPr>
          <w:lang w:eastAsia="de-DE"/>
        </w:rPr>
        <w:t>A m</w:t>
      </w:r>
      <w:r w:rsidR="008E1E2C">
        <w:rPr>
          <w:lang w:eastAsia="de-DE"/>
        </w:rPr>
        <w:t>anagement level Recommendation</w:t>
      </w:r>
      <w:r w:rsidR="002C2803">
        <w:rPr>
          <w:lang w:eastAsia="de-DE"/>
        </w:rPr>
        <w:t xml:space="preserve"> would fill this void, but also and importantly support Korea in its efforts and planning for the </w:t>
      </w:r>
      <w:r w:rsidR="008E1E2C">
        <w:rPr>
          <w:lang w:eastAsia="de-DE"/>
        </w:rPr>
        <w:t>2018</w:t>
      </w:r>
      <w:r w:rsidR="002C2803">
        <w:rPr>
          <w:lang w:eastAsia="de-DE"/>
        </w:rPr>
        <w:t xml:space="preserve"> conference.</w:t>
      </w:r>
      <w:r w:rsidR="008E1E2C">
        <w:rPr>
          <w:lang w:eastAsia="de-DE"/>
        </w:rPr>
        <w:t xml:space="preserve"> The Heritage Manual could be referenced in the Recommendation.</w:t>
      </w:r>
    </w:p>
    <w:p w:rsidR="002C2803" w:rsidRDefault="002C2803" w:rsidP="002C2803">
      <w:pPr>
        <w:pStyle w:val="BodyText"/>
        <w:rPr>
          <w:sz w:val="22"/>
          <w:szCs w:val="22"/>
        </w:rPr>
      </w:pPr>
      <w:r w:rsidRPr="007419BD">
        <w:rPr>
          <w:sz w:val="22"/>
          <w:szCs w:val="22"/>
        </w:rPr>
        <w:t>Risk management for aids to navigation and related services</w:t>
      </w:r>
    </w:p>
    <w:p w:rsidR="002C2803" w:rsidRDefault="002C2803" w:rsidP="002C2803">
      <w:pPr>
        <w:ind w:left="360"/>
        <w:rPr>
          <w:lang w:eastAsia="de-DE"/>
        </w:rPr>
      </w:pPr>
      <w:r>
        <w:rPr>
          <w:lang w:eastAsia="de-DE"/>
        </w:rPr>
        <w:t xml:space="preserve">Recommendation O-134 opens with </w:t>
      </w:r>
      <w:r w:rsidR="00C45CCC">
        <w:rPr>
          <w:lang w:eastAsia="de-DE"/>
        </w:rPr>
        <w:t>a very good explanation of the need for risk management, but then recommends the use of the PAWSA tool. The Secretariat proposes that O-134 is adapted to a management level Recommendation on the need for risk management, one or two pages.</w:t>
      </w:r>
    </w:p>
    <w:p w:rsidR="00C45CCC" w:rsidRPr="00A114F6" w:rsidRDefault="00C45CCC" w:rsidP="002C2803">
      <w:pPr>
        <w:ind w:left="360"/>
        <w:rPr>
          <w:lang w:eastAsia="de-DE"/>
        </w:rPr>
      </w:pPr>
      <w:r>
        <w:rPr>
          <w:lang w:eastAsia="de-DE"/>
        </w:rPr>
        <w:t>The detail on the use of PAWSA can then become a Guideline, and as other risk management techniques are developed they can become the subject(s) of other Guidelines.</w:t>
      </w:r>
    </w:p>
    <w:p w:rsidR="009570E7" w:rsidRDefault="009570E7" w:rsidP="00B72654">
      <w:pPr>
        <w:pStyle w:val="Heading1"/>
        <w:keepLines w:val="0"/>
        <w:numPr>
          <w:ilvl w:val="0"/>
          <w:numId w:val="1"/>
        </w:numPr>
        <w:spacing w:before="240" w:after="240" w:line="240" w:lineRule="auto"/>
        <w:rPr>
          <w:rFonts w:ascii="Calibri" w:eastAsia="Calibri" w:hAnsi="Calibri" w:cs="Calibri"/>
          <w:bCs w:val="0"/>
          <w:caps/>
          <w:color w:val="00558C"/>
          <w:kern w:val="28"/>
          <w:sz w:val="24"/>
          <w:szCs w:val="22"/>
          <w:lang w:eastAsia="de-DE"/>
        </w:rPr>
      </w:pPr>
      <w:r>
        <w:rPr>
          <w:rFonts w:ascii="Calibri" w:eastAsia="Calibri" w:hAnsi="Calibri" w:cs="Calibri"/>
          <w:bCs w:val="0"/>
          <w:caps/>
          <w:color w:val="00558C"/>
          <w:kern w:val="28"/>
          <w:sz w:val="24"/>
          <w:szCs w:val="22"/>
          <w:lang w:eastAsia="de-DE"/>
        </w:rPr>
        <w:t>Workload for Committees</w:t>
      </w:r>
    </w:p>
    <w:p w:rsidR="009570E7" w:rsidRDefault="009570E7" w:rsidP="009570E7">
      <w:pPr>
        <w:rPr>
          <w:lang w:eastAsia="de-DE"/>
        </w:rPr>
      </w:pPr>
      <w:r>
        <w:rPr>
          <w:lang w:eastAsia="de-DE"/>
        </w:rPr>
        <w:t>The consequent work for Committees if the relevant Committee Chairs agree to complete the four draft Recommendations in time for Council 65 is as follows.</w:t>
      </w:r>
    </w:p>
    <w:p w:rsidR="009570E7" w:rsidRDefault="007419BD" w:rsidP="009570E7">
      <w:pPr>
        <w:pStyle w:val="ListParagraph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(ARM) </w:t>
      </w:r>
      <w:r w:rsidR="009570E7">
        <w:rPr>
          <w:lang w:eastAsia="de-DE"/>
        </w:rPr>
        <w:t>Maritime Buoyage System</w:t>
      </w:r>
    </w:p>
    <w:p w:rsidR="009570E7" w:rsidRDefault="009570E7" w:rsidP="009570E7">
      <w:pPr>
        <w:pStyle w:val="ListParagraph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 xml:space="preserve">Agree or amend the draft </w:t>
      </w:r>
      <w:r w:rsidR="002B0B7C">
        <w:rPr>
          <w:lang w:eastAsia="de-DE"/>
        </w:rPr>
        <w:t>Recommendation</w:t>
      </w:r>
    </w:p>
    <w:p w:rsidR="009570E7" w:rsidRDefault="009570E7" w:rsidP="009570E7">
      <w:pPr>
        <w:pStyle w:val="ListParagraph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>Determine the format for Guideline IALA1010-G1001 which will describe the current MBS</w:t>
      </w:r>
    </w:p>
    <w:p w:rsidR="009570E7" w:rsidRDefault="009570E7" w:rsidP="009570E7">
      <w:pPr>
        <w:pStyle w:val="ListParagraph"/>
        <w:numPr>
          <w:ilvl w:val="2"/>
          <w:numId w:val="5"/>
        </w:numPr>
        <w:rPr>
          <w:lang w:eastAsia="de-DE"/>
        </w:rPr>
      </w:pPr>
      <w:r>
        <w:rPr>
          <w:lang w:eastAsia="de-DE"/>
        </w:rPr>
        <w:t>As an interim measure this Guideline could consist of the existing MBS booklet with a suitable “Guideline IALA1010-G1001” on the front cover</w:t>
      </w:r>
    </w:p>
    <w:p w:rsidR="009570E7" w:rsidRDefault="009570E7" w:rsidP="009570E7">
      <w:pPr>
        <w:pStyle w:val="ListParagraph"/>
        <w:numPr>
          <w:ilvl w:val="2"/>
          <w:numId w:val="5"/>
        </w:numPr>
        <w:rPr>
          <w:lang w:eastAsia="de-DE"/>
        </w:rPr>
      </w:pPr>
      <w:r>
        <w:rPr>
          <w:lang w:eastAsia="de-DE"/>
        </w:rPr>
        <w:t>A new Guideline Booklet could be printed later</w:t>
      </w:r>
    </w:p>
    <w:p w:rsidR="009570E7" w:rsidRDefault="007419BD" w:rsidP="009570E7">
      <w:pPr>
        <w:pStyle w:val="ListParagraph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(ENAV) </w:t>
      </w:r>
      <w:r w:rsidR="009570E7">
        <w:rPr>
          <w:lang w:eastAsia="de-DE"/>
        </w:rPr>
        <w:t>VDES</w:t>
      </w:r>
    </w:p>
    <w:p w:rsidR="009570E7" w:rsidRDefault="009570E7" w:rsidP="009570E7">
      <w:pPr>
        <w:pStyle w:val="ListParagraph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lastRenderedPageBreak/>
        <w:t xml:space="preserve">Agree or amend the draft </w:t>
      </w:r>
      <w:r w:rsidR="002B0B7C">
        <w:rPr>
          <w:lang w:eastAsia="de-DE"/>
        </w:rPr>
        <w:t>Recommendation</w:t>
      </w:r>
    </w:p>
    <w:p w:rsidR="00CA0BEE" w:rsidRDefault="00F65423" w:rsidP="00E14310">
      <w:pPr>
        <w:pStyle w:val="ListParagraph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>Take n</w:t>
      </w:r>
      <w:r w:rsidR="00E14310">
        <w:rPr>
          <w:lang w:eastAsia="de-DE"/>
        </w:rPr>
        <w:t xml:space="preserve">ote that </w:t>
      </w:r>
      <w:r w:rsidR="00CA0BEE" w:rsidRPr="00CA0BEE">
        <w:rPr>
          <w:lang w:eastAsia="de-DE"/>
        </w:rPr>
        <w:t>Guideline 1117 on VHF Data Exchange System (VDES) Overview</w:t>
      </w:r>
      <w:r w:rsidR="00CA0BEE">
        <w:rPr>
          <w:lang w:eastAsia="de-DE"/>
        </w:rPr>
        <w:t xml:space="preserve"> will be sufficient</w:t>
      </w:r>
      <w:r w:rsidR="00E14310">
        <w:rPr>
          <w:lang w:eastAsia="de-DE"/>
        </w:rPr>
        <w:t xml:space="preserve"> support for the Recommendation now, and </w:t>
      </w:r>
      <w:r>
        <w:rPr>
          <w:lang w:eastAsia="de-DE"/>
        </w:rPr>
        <w:t xml:space="preserve">note </w:t>
      </w:r>
      <w:r w:rsidR="00E14310">
        <w:rPr>
          <w:lang w:eastAsia="de-DE"/>
        </w:rPr>
        <w:t>that additional Guidelines will be produced between now and 2019</w:t>
      </w:r>
    </w:p>
    <w:p w:rsidR="00CA0BEE" w:rsidRDefault="007419BD" w:rsidP="00CA0BEE">
      <w:pPr>
        <w:pStyle w:val="ListParagraph"/>
        <w:numPr>
          <w:ilvl w:val="0"/>
          <w:numId w:val="5"/>
        </w:numPr>
        <w:rPr>
          <w:lang w:eastAsia="de-DE"/>
        </w:rPr>
      </w:pPr>
      <w:r>
        <w:t xml:space="preserve">(ENG) </w:t>
      </w:r>
      <w:r w:rsidR="00CA0BEE">
        <w:t>Preservation of the lighthouse heritage</w:t>
      </w:r>
    </w:p>
    <w:p w:rsidR="007419BD" w:rsidRDefault="007419BD" w:rsidP="007419BD">
      <w:pPr>
        <w:pStyle w:val="ListParagraph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 xml:space="preserve">Agree or amend the draft </w:t>
      </w:r>
      <w:r w:rsidR="002B0B7C">
        <w:rPr>
          <w:lang w:eastAsia="de-DE"/>
        </w:rPr>
        <w:t>Recommendation</w:t>
      </w:r>
    </w:p>
    <w:p w:rsidR="007419BD" w:rsidRDefault="007419BD" w:rsidP="007419BD">
      <w:pPr>
        <w:pStyle w:val="ListParagraph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(ARM) </w:t>
      </w:r>
      <w:r w:rsidRPr="007419BD">
        <w:rPr>
          <w:lang w:eastAsia="de-DE"/>
        </w:rPr>
        <w:t>Risk management for aids to navigation and related services</w:t>
      </w:r>
    </w:p>
    <w:p w:rsidR="007419BD" w:rsidRDefault="007419BD" w:rsidP="007419BD">
      <w:pPr>
        <w:pStyle w:val="ListParagraph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 xml:space="preserve">Agree or amend the draft </w:t>
      </w:r>
      <w:r w:rsidR="002B0B7C">
        <w:rPr>
          <w:lang w:eastAsia="de-DE"/>
        </w:rPr>
        <w:t>Recommendation</w:t>
      </w:r>
    </w:p>
    <w:p w:rsidR="006A4180" w:rsidRDefault="006A4180" w:rsidP="006A4180">
      <w:pPr>
        <w:pStyle w:val="ListParagraph"/>
        <w:numPr>
          <w:ilvl w:val="2"/>
          <w:numId w:val="5"/>
        </w:numPr>
        <w:rPr>
          <w:lang w:eastAsia="de-DE"/>
        </w:rPr>
      </w:pPr>
      <w:r>
        <w:rPr>
          <w:lang w:eastAsia="de-DE"/>
        </w:rPr>
        <w:t xml:space="preserve">This draws heavily on the existing O-134 page 3 to make a general Recommendation </w:t>
      </w:r>
      <w:r w:rsidR="0053478F">
        <w:rPr>
          <w:lang w:eastAsia="de-DE"/>
        </w:rPr>
        <w:t xml:space="preserve">to employ risk management techniques, </w:t>
      </w:r>
      <w:r>
        <w:rPr>
          <w:lang w:eastAsia="de-DE"/>
        </w:rPr>
        <w:t xml:space="preserve">rather than a Recommendation to use </w:t>
      </w:r>
      <w:r w:rsidR="0055329E">
        <w:rPr>
          <w:lang w:eastAsia="de-DE"/>
        </w:rPr>
        <w:t xml:space="preserve">a single tool, </w:t>
      </w:r>
      <w:r>
        <w:rPr>
          <w:lang w:eastAsia="de-DE"/>
        </w:rPr>
        <w:t>PAWSA</w:t>
      </w:r>
    </w:p>
    <w:p w:rsidR="007419BD" w:rsidRDefault="0053478F" w:rsidP="007419BD">
      <w:pPr>
        <w:pStyle w:val="ListParagraph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 xml:space="preserve">Convert Recommendation O-134 </w:t>
      </w:r>
      <w:r w:rsidR="006A4180">
        <w:rPr>
          <w:lang w:eastAsia="de-DE"/>
        </w:rPr>
        <w:t>to a Guideline on PAWSA</w:t>
      </w:r>
      <w:r w:rsidRPr="0053478F">
        <w:rPr>
          <w:lang w:eastAsia="de-DE"/>
        </w:rPr>
        <w:t xml:space="preserve"> </w:t>
      </w:r>
      <w:r>
        <w:rPr>
          <w:lang w:eastAsia="de-DE"/>
        </w:rPr>
        <w:t>using pages 4 to 22</w:t>
      </w:r>
    </w:p>
    <w:p w:rsidR="009570E7" w:rsidRPr="009570E7" w:rsidRDefault="009570E7" w:rsidP="009570E7">
      <w:pPr>
        <w:rPr>
          <w:lang w:eastAsia="de-DE"/>
        </w:rPr>
      </w:pPr>
    </w:p>
    <w:p w:rsidR="004F4234" w:rsidRDefault="004F4234" w:rsidP="004F4234">
      <w:pPr>
        <w:pStyle w:val="Heading1"/>
        <w:keepLines w:val="0"/>
        <w:numPr>
          <w:ilvl w:val="0"/>
          <w:numId w:val="1"/>
        </w:numPr>
        <w:spacing w:before="240" w:after="240" w:line="240" w:lineRule="auto"/>
        <w:rPr>
          <w:rFonts w:ascii="Calibri" w:eastAsia="Calibri" w:hAnsi="Calibri" w:cs="Calibri"/>
          <w:bCs w:val="0"/>
          <w:caps/>
          <w:color w:val="00558C"/>
          <w:kern w:val="28"/>
          <w:sz w:val="24"/>
          <w:szCs w:val="22"/>
          <w:lang w:eastAsia="de-DE"/>
        </w:rPr>
      </w:pPr>
      <w:r>
        <w:rPr>
          <w:rFonts w:ascii="Calibri" w:eastAsia="Calibri" w:hAnsi="Calibri" w:cs="Calibri"/>
          <w:bCs w:val="0"/>
          <w:caps/>
          <w:color w:val="00558C"/>
          <w:kern w:val="28"/>
          <w:sz w:val="24"/>
          <w:szCs w:val="22"/>
          <w:lang w:eastAsia="de-DE"/>
        </w:rPr>
        <w:t>Recommendation text suggestions</w:t>
      </w:r>
    </w:p>
    <w:p w:rsidR="004F4234" w:rsidRPr="00B72654" w:rsidRDefault="004F4234" w:rsidP="004F4234">
      <w:pPr>
        <w:rPr>
          <w:lang w:eastAsia="de-DE"/>
        </w:rPr>
      </w:pPr>
      <w:r>
        <w:rPr>
          <w:lang w:eastAsia="de-DE"/>
        </w:rPr>
        <w:t>Text suggestions for the four new draft Recommendations are provided in separate documents PAP33-10.2.2 to PAP33-10.2.5</w:t>
      </w:r>
    </w:p>
    <w:p w:rsidR="00B72654" w:rsidRPr="002E2335" w:rsidRDefault="00B72654" w:rsidP="00B72654">
      <w:pPr>
        <w:pStyle w:val="Heading1"/>
        <w:keepLines w:val="0"/>
        <w:numPr>
          <w:ilvl w:val="0"/>
          <w:numId w:val="1"/>
        </w:numPr>
        <w:spacing w:before="240" w:after="240" w:line="240" w:lineRule="auto"/>
        <w:rPr>
          <w:rFonts w:ascii="Calibri" w:eastAsia="Calibri" w:hAnsi="Calibri" w:cs="Calibri"/>
          <w:bCs w:val="0"/>
          <w:caps/>
          <w:color w:val="00558C"/>
          <w:kern w:val="28"/>
          <w:sz w:val="24"/>
          <w:szCs w:val="22"/>
          <w:lang w:eastAsia="de-DE"/>
        </w:rPr>
      </w:pPr>
      <w:r w:rsidRPr="002E2335">
        <w:rPr>
          <w:rFonts w:ascii="Calibri" w:eastAsia="Calibri" w:hAnsi="Calibri" w:cs="Calibri"/>
          <w:bCs w:val="0"/>
          <w:caps/>
          <w:color w:val="00558C"/>
          <w:kern w:val="28"/>
          <w:sz w:val="24"/>
          <w:szCs w:val="22"/>
          <w:lang w:eastAsia="de-DE"/>
        </w:rPr>
        <w:t>ACTION</w:t>
      </w:r>
    </w:p>
    <w:p w:rsidR="00B72654" w:rsidRDefault="004F4234" w:rsidP="00B72654">
      <w:pPr>
        <w:rPr>
          <w:lang w:eastAsia="de-DE"/>
        </w:rPr>
      </w:pPr>
      <w:r>
        <w:rPr>
          <w:lang w:eastAsia="de-DE"/>
        </w:rPr>
        <w:t>Committee Chairs are requested to advise what can be achieved before Council 64 and before Council 65.</w:t>
      </w:r>
    </w:p>
    <w:p w:rsidR="004F4234" w:rsidRDefault="004F4234">
      <w:r>
        <w:br w:type="page"/>
      </w:r>
    </w:p>
    <w:p w:rsidR="0033015D" w:rsidRDefault="004F4234" w:rsidP="00435AC9">
      <w:r>
        <w:lastRenderedPageBreak/>
        <w:t>Appendix</w:t>
      </w:r>
    </w:p>
    <w:p w:rsidR="004F4234" w:rsidRDefault="004F4234" w:rsidP="00435AC9"/>
    <w:sectPr w:rsidR="004F4234"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F18" w:rsidRDefault="00875F18" w:rsidP="00B72654">
      <w:pPr>
        <w:spacing w:after="0" w:line="240" w:lineRule="auto"/>
      </w:pPr>
      <w:r>
        <w:separator/>
      </w:r>
    </w:p>
  </w:endnote>
  <w:endnote w:type="continuationSeparator" w:id="0">
    <w:p w:rsidR="00875F18" w:rsidRDefault="00875F18" w:rsidP="00B72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F18" w:rsidRDefault="00875F18" w:rsidP="00B72654">
      <w:pPr>
        <w:spacing w:after="0" w:line="240" w:lineRule="auto"/>
      </w:pPr>
      <w:r>
        <w:separator/>
      </w:r>
    </w:p>
  </w:footnote>
  <w:footnote w:type="continuationSeparator" w:id="0">
    <w:p w:rsidR="00875F18" w:rsidRDefault="00875F18" w:rsidP="00B72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946" w:rsidRDefault="00B80946" w:rsidP="002E2335">
    <w:pPr>
      <w:tabs>
        <w:tab w:val="center" w:pos="4820"/>
        <w:tab w:val="right" w:pos="5954"/>
      </w:tabs>
      <w:jc w:val="right"/>
      <w:rPr>
        <w:rFonts w:ascii="Calibri" w:hAnsi="Calibri"/>
      </w:rPr>
    </w:pPr>
    <w:r>
      <w:rPr>
        <w:rFonts w:ascii="Calibri" w:hAnsi="Calibri"/>
      </w:rPr>
      <w:t>ENAV20-7.3</w:t>
    </w:r>
  </w:p>
  <w:p w:rsidR="002E2335" w:rsidRDefault="00F1403A" w:rsidP="002E2335">
    <w:pPr>
      <w:tabs>
        <w:tab w:val="center" w:pos="4820"/>
        <w:tab w:val="right" w:pos="5954"/>
      </w:tabs>
      <w:jc w:val="right"/>
      <w:rPr>
        <w:rFonts w:ascii="Calibri" w:hAnsi="Calibri"/>
      </w:rPr>
    </w:pPr>
    <w:r>
      <w:rPr>
        <w:rFonts w:ascii="Calibri" w:hAnsi="Calibri"/>
        <w:noProof/>
        <w:lang w:val="en-IE" w:eastAsia="en-IE"/>
      </w:rPr>
      <w:drawing>
        <wp:anchor distT="0" distB="0" distL="114300" distR="114300" simplePos="0" relativeHeight="251656704" behindDoc="1" locked="0" layoutInCell="1" allowOverlap="1" wp14:anchorId="05DBF054" wp14:editId="619F8D2C">
          <wp:simplePos x="0" y="0"/>
          <wp:positionH relativeFrom="column">
            <wp:posOffset>2533432</wp:posOffset>
          </wp:positionH>
          <wp:positionV relativeFrom="paragraph">
            <wp:posOffset>-223983</wp:posOffset>
          </wp:positionV>
          <wp:extent cx="751715" cy="79030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715" cy="7903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F0A6C">
      <w:rPr>
        <w:rFonts w:ascii="Calibri" w:hAnsi="Calibri"/>
      </w:rPr>
      <w:t xml:space="preserve">Input paper:  </w:t>
    </w:r>
    <w:r>
      <w:rPr>
        <w:rFonts w:ascii="Calibri" w:hAnsi="Calibri"/>
      </w:rPr>
      <w:t>PAP33-10.2</w:t>
    </w:r>
    <w:r w:rsidR="00B72654">
      <w:rPr>
        <w:rFonts w:ascii="Calibri" w:hAnsi="Calibri"/>
      </w:rPr>
      <w:t>.1</w:t>
    </w:r>
  </w:p>
  <w:p w:rsidR="002E2335" w:rsidRDefault="00875F18" w:rsidP="00EA70C2">
    <w:pPr>
      <w:tabs>
        <w:tab w:val="center" w:pos="4820"/>
        <w:tab w:val="right" w:pos="5954"/>
      </w:tabs>
      <w:jc w:val="right"/>
      <w:rPr>
        <w:rFonts w:ascii="Calibri" w:hAnsi="Calibri"/>
      </w:rPr>
    </w:pPr>
  </w:p>
  <w:p w:rsidR="002E2335" w:rsidRDefault="00875F18" w:rsidP="00EA70C2">
    <w:pPr>
      <w:tabs>
        <w:tab w:val="center" w:pos="4820"/>
        <w:tab w:val="right" w:pos="5954"/>
      </w:tabs>
      <w:jc w:val="right"/>
      <w:rPr>
        <w:rFonts w:ascii="Calibri" w:hAnsi="Calibr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2335" w:rsidRPr="002E2335" w:rsidRDefault="00F1403A" w:rsidP="002E2335">
    <w:pPr>
      <w:pStyle w:val="Header"/>
      <w:jc w:val="right"/>
      <w:rPr>
        <w:lang w:val="fr-FR"/>
      </w:rPr>
    </w:pPr>
    <w:r>
      <w:rPr>
        <w:rFonts w:ascii="Calibri" w:hAnsi="Calibri"/>
        <w:noProof/>
        <w:lang w:val="en-IE" w:eastAsia="en-IE"/>
      </w:rPr>
      <w:drawing>
        <wp:anchor distT="0" distB="0" distL="114300" distR="114300" simplePos="0" relativeHeight="251657728" behindDoc="1" locked="0" layoutInCell="1" allowOverlap="1" wp14:anchorId="40F7B5D7" wp14:editId="7A07BF4F">
          <wp:simplePos x="0" y="0"/>
          <wp:positionH relativeFrom="column">
            <wp:posOffset>8919459</wp:posOffset>
          </wp:positionH>
          <wp:positionV relativeFrom="paragraph">
            <wp:posOffset>-61070</wp:posOffset>
          </wp:positionV>
          <wp:extent cx="446220" cy="469127"/>
          <wp:effectExtent l="0" t="0" r="0" b="762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220" cy="4691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FR"/>
      </w:rPr>
      <w:t xml:space="preserve">PAP33-10.2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F50AA"/>
    <w:multiLevelType w:val="hybridMultilevel"/>
    <w:tmpl w:val="A1DE32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B45C1D"/>
    <w:multiLevelType w:val="hybridMultilevel"/>
    <w:tmpl w:val="12F0CF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566A77"/>
    <w:multiLevelType w:val="hybridMultilevel"/>
    <w:tmpl w:val="5F42F8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416E1E"/>
    <w:multiLevelType w:val="hybridMultilevel"/>
    <w:tmpl w:val="9DB817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4B02F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AC9"/>
    <w:rsid w:val="00040278"/>
    <w:rsid w:val="001B3838"/>
    <w:rsid w:val="002B0B7C"/>
    <w:rsid w:val="002C2803"/>
    <w:rsid w:val="0033015D"/>
    <w:rsid w:val="003C06D0"/>
    <w:rsid w:val="003D4779"/>
    <w:rsid w:val="003D5642"/>
    <w:rsid w:val="00422D53"/>
    <w:rsid w:val="00435AC9"/>
    <w:rsid w:val="004F4234"/>
    <w:rsid w:val="0053478F"/>
    <w:rsid w:val="0055329E"/>
    <w:rsid w:val="005E0B88"/>
    <w:rsid w:val="00654AC7"/>
    <w:rsid w:val="006A4180"/>
    <w:rsid w:val="006E152C"/>
    <w:rsid w:val="007419BD"/>
    <w:rsid w:val="008311DA"/>
    <w:rsid w:val="00875F18"/>
    <w:rsid w:val="008B6CCE"/>
    <w:rsid w:val="008E1E2C"/>
    <w:rsid w:val="009462EC"/>
    <w:rsid w:val="009570E7"/>
    <w:rsid w:val="00A114F6"/>
    <w:rsid w:val="00A535E3"/>
    <w:rsid w:val="00A95653"/>
    <w:rsid w:val="00AA559B"/>
    <w:rsid w:val="00AC21DD"/>
    <w:rsid w:val="00B72654"/>
    <w:rsid w:val="00B80946"/>
    <w:rsid w:val="00BF7D82"/>
    <w:rsid w:val="00C45CCC"/>
    <w:rsid w:val="00CA0BEE"/>
    <w:rsid w:val="00E14310"/>
    <w:rsid w:val="00F1403A"/>
    <w:rsid w:val="00F2320F"/>
    <w:rsid w:val="00F6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B535C2-02AB-4B5C-BABF-DAE62FBB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72654"/>
    <w:pPr>
      <w:keepNext/>
      <w:keepLines/>
      <w:spacing w:before="480" w:after="0" w:line="276" w:lineRule="auto"/>
      <w:outlineLvl w:val="0"/>
    </w:pPr>
    <w:rPr>
      <w:rFonts w:eastAsiaTheme="majorEastAsia" w:cstheme="majorBidi"/>
      <w:b/>
      <w:bCs/>
      <w:color w:val="2E74B5" w:themeColor="accent1" w:themeShade="BF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2654"/>
    <w:rPr>
      <w:rFonts w:eastAsiaTheme="majorEastAsia" w:cstheme="majorBidi"/>
      <w:b/>
      <w:bCs/>
      <w:color w:val="2E74B5" w:themeColor="accent1" w:themeShade="BF"/>
      <w:sz w:val="36"/>
      <w:szCs w:val="36"/>
    </w:rPr>
  </w:style>
  <w:style w:type="paragraph" w:styleId="BodyText">
    <w:name w:val="Body Text"/>
    <w:aliases w:val=" Char"/>
    <w:basedOn w:val="Normal"/>
    <w:link w:val="BodyTextChar1"/>
    <w:qFormat/>
    <w:rsid w:val="00B72654"/>
    <w:pPr>
      <w:spacing w:beforeLines="60" w:before="144" w:after="12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uiPriority w:val="99"/>
    <w:semiHidden/>
    <w:rsid w:val="00B72654"/>
  </w:style>
  <w:style w:type="character" w:customStyle="1" w:styleId="BodyTextChar1">
    <w:name w:val="Body Text Char1"/>
    <w:aliases w:val=" Char Char"/>
    <w:basedOn w:val="DefaultParagraphFont"/>
    <w:link w:val="BodyText"/>
    <w:rsid w:val="00B72654"/>
    <w:rPr>
      <w:rFonts w:eastAsia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B72654"/>
    <w:pPr>
      <w:spacing w:beforeLines="60"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character" w:customStyle="1" w:styleId="TitleChar">
    <w:name w:val="Title Char"/>
    <w:basedOn w:val="DefaultParagraphFont"/>
    <w:link w:val="Title"/>
    <w:rsid w:val="00B72654"/>
    <w:rPr>
      <w:rFonts w:ascii="Arial" w:eastAsia="Times New Roman" w:hAnsi="Arial" w:cs="Arial"/>
      <w:b/>
      <w:bCs/>
      <w:kern w:val="28"/>
      <w:sz w:val="32"/>
      <w:szCs w:val="32"/>
      <w:lang w:eastAsia="fr-FR"/>
    </w:rPr>
  </w:style>
  <w:style w:type="paragraph" w:styleId="Header">
    <w:name w:val="header"/>
    <w:basedOn w:val="Normal"/>
    <w:link w:val="HeaderChar"/>
    <w:rsid w:val="00B72654"/>
    <w:pPr>
      <w:tabs>
        <w:tab w:val="center" w:pos="4536"/>
        <w:tab w:val="right" w:pos="9072"/>
      </w:tabs>
      <w:spacing w:beforeLines="60" w:before="144" w:after="0" w:line="240" w:lineRule="auto"/>
      <w:jc w:val="both"/>
    </w:pPr>
    <w:rPr>
      <w:rFonts w:eastAsia="Times New Roman" w:cs="Times New Roman"/>
      <w:lang w:eastAsia="fr-FR"/>
    </w:rPr>
  </w:style>
  <w:style w:type="character" w:customStyle="1" w:styleId="HeaderChar">
    <w:name w:val="Header Char"/>
    <w:basedOn w:val="DefaultParagraphFont"/>
    <w:link w:val="Header"/>
    <w:rsid w:val="00B72654"/>
    <w:rPr>
      <w:rFonts w:eastAsia="Times New Roman" w:cs="Times New Roman"/>
      <w:lang w:eastAsia="fr-FR"/>
    </w:rPr>
  </w:style>
  <w:style w:type="paragraph" w:styleId="ListParagraph">
    <w:name w:val="List Paragraph"/>
    <w:basedOn w:val="Normal"/>
    <w:uiPriority w:val="34"/>
    <w:qFormat/>
    <w:rsid w:val="00B72654"/>
    <w:pPr>
      <w:spacing w:beforeLines="60" w:before="144" w:after="0" w:line="240" w:lineRule="auto"/>
      <w:ind w:left="720"/>
      <w:contextualSpacing/>
      <w:jc w:val="both"/>
    </w:pPr>
    <w:rPr>
      <w:rFonts w:eastAsia="Times New Roman" w:cs="Times New Roman"/>
      <w:lang w:eastAsia="fr-FR"/>
    </w:rPr>
  </w:style>
  <w:style w:type="paragraph" w:styleId="Footer">
    <w:name w:val="footer"/>
    <w:basedOn w:val="Normal"/>
    <w:link w:val="FooterChar"/>
    <w:uiPriority w:val="99"/>
    <w:unhideWhenUsed/>
    <w:rsid w:val="00B726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 Card</dc:creator>
  <cp:keywords/>
  <dc:description/>
  <cp:lastModifiedBy>Seamus Doyle</cp:lastModifiedBy>
  <cp:revision>3</cp:revision>
  <dcterms:created xsi:type="dcterms:W3CDTF">2017-02-24T12:12:00Z</dcterms:created>
  <dcterms:modified xsi:type="dcterms:W3CDTF">2017-02-24T12:35:00Z</dcterms:modified>
</cp:coreProperties>
</file>